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39" w:line="225" w:lineRule="auto"/>
        <w:jc w:val="center"/>
        <w:rPr>
          <w:rFonts w:hint="eastAsia" w:ascii="黑体" w:hAnsi="黑体" w:eastAsia="黑体" w:cs="黑体"/>
          <w:spacing w:val="9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pacing w:val="9"/>
          <w:sz w:val="40"/>
          <w:szCs w:val="40"/>
          <w:lang w:eastAsia="zh-CN"/>
        </w:rPr>
        <w:t>2024年湖南省职业院校教改项目就业创业教改专项</w:t>
      </w:r>
    </w:p>
    <w:p>
      <w:pPr>
        <w:spacing w:before="139" w:line="225" w:lineRule="auto"/>
        <w:jc w:val="center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9"/>
          <w:sz w:val="43"/>
          <w:szCs w:val="43"/>
        </w:rPr>
        <w:t>《课题设计论证》活页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2"/>
        <w:spacing w:before="78" w:line="289" w:lineRule="auto"/>
        <w:ind w:left="35" w:right="47" w:hanging="13"/>
      </w:pPr>
      <w:r>
        <w:rPr>
          <w:rFonts w:ascii="楷体" w:hAnsi="楷体" w:eastAsia="楷体" w:cs="楷体"/>
          <w:spacing w:val="-16"/>
        </w:rPr>
        <w:t>（</w:t>
      </w:r>
      <w:r>
        <w:rPr>
          <w:rFonts w:ascii="楷体" w:hAnsi="楷体" w:eastAsia="楷体" w:cs="楷体"/>
          <w:b/>
          <w:bCs/>
          <w:spacing w:val="-16"/>
        </w:rPr>
        <w:t>填写说明：</w:t>
      </w:r>
      <w:r>
        <w:rPr>
          <w:spacing w:val="-16"/>
        </w:rPr>
        <w:t>本表供匿名评审使用。填写时，不得</w:t>
      </w:r>
      <w:r>
        <w:rPr>
          <w:spacing w:val="-17"/>
        </w:rPr>
        <w:t>出现课题主持人的姓名、单位等信息，统一用×</w:t>
      </w:r>
      <w:r>
        <w:t xml:space="preserve"> </w:t>
      </w:r>
      <w:r>
        <w:rPr>
          <w:spacing w:val="-22"/>
        </w:rPr>
        <w:t>×</w:t>
      </w:r>
      <w:r>
        <w:rPr>
          <w:spacing w:val="-90"/>
        </w:rPr>
        <w:t xml:space="preserve"> </w:t>
      </w:r>
      <w:r>
        <w:rPr>
          <w:spacing w:val="-22"/>
        </w:rPr>
        <w:t>×、</w:t>
      </w:r>
      <w:r>
        <w:rPr>
          <w:spacing w:val="-94"/>
        </w:rPr>
        <w:t xml:space="preserve"> </w:t>
      </w:r>
      <w:r>
        <w:rPr>
          <w:spacing w:val="-22"/>
        </w:rPr>
        <w:t>××××××代替。否则，一律不得进入评审程序。）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97" w:line="221" w:lineRule="auto"/>
        <w:ind w:left="1"/>
        <w:rPr>
          <w:rFonts w:hint="default" w:ascii="Arial" w:eastAsia="黑体"/>
          <w:sz w:val="21"/>
          <w:lang w:val="en-US" w:eastAsia="zh-CN"/>
        </w:rPr>
      </w:pPr>
      <w:r>
        <w:rPr>
          <w:rFonts w:ascii="黑体" w:hAnsi="黑体" w:eastAsia="黑体" w:cs="黑体"/>
          <w:spacing w:val="-1"/>
          <w:sz w:val="30"/>
          <w:szCs w:val="30"/>
        </w:rPr>
        <w:t>课题名称：</w:t>
      </w:r>
      <w:r>
        <w:rPr>
          <w:rFonts w:hint="eastAsia" w:ascii="黑体" w:hAnsi="黑体" w:eastAsia="黑体" w:cs="黑体"/>
          <w:sz w:val="30"/>
          <w:szCs w:val="30"/>
          <w:u w:val="single"/>
          <w:lang w:val="en-US" w:eastAsia="zh-CN"/>
        </w:rPr>
        <w:t xml:space="preserve">                                           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78" w:line="221" w:lineRule="auto"/>
        <w:ind w:left="5"/>
        <w:outlineLvl w:val="0"/>
        <w:rPr>
          <w:rFonts w:ascii="黑体" w:hAnsi="黑体" w:eastAsia="黑体" w:cs="黑体"/>
          <w:b/>
          <w:bCs/>
          <w:spacing w:val="-4"/>
          <w:sz w:val="24"/>
          <w:szCs w:val="24"/>
        </w:rPr>
      </w:pPr>
      <w:r>
        <w:rPr>
          <w:rFonts w:ascii="黑体" w:hAnsi="黑体" w:eastAsia="黑体" w:cs="黑体"/>
          <w:b/>
          <w:bCs/>
          <w:spacing w:val="-4"/>
          <w:sz w:val="24"/>
          <w:szCs w:val="24"/>
        </w:rPr>
        <w:t>一、课题选题</w:t>
      </w:r>
    </w:p>
    <w:p>
      <w:pPr>
        <w:pStyle w:val="2"/>
        <w:widowControl w:val="0"/>
        <w:spacing w:before="143" w:line="228" w:lineRule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（一）问题的提出</w:t>
      </w:r>
    </w:p>
    <w:p>
      <w:pPr>
        <w:pStyle w:val="2"/>
        <w:widowControl w:val="0"/>
        <w:spacing w:before="143" w:line="228" w:lineRule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（二）国内外相关研究的学术史梳理</w:t>
      </w:r>
    </w:p>
    <w:p>
      <w:pPr>
        <w:pStyle w:val="2"/>
        <w:widowControl w:val="0"/>
        <w:spacing w:before="143" w:line="228" w:lineRule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（三）本课题相对已有研究的独到学术价值和应用价值</w:t>
      </w:r>
    </w:p>
    <w:p>
      <w:pPr>
        <w:spacing w:before="78" w:line="221" w:lineRule="auto"/>
        <w:ind w:left="5"/>
        <w:outlineLvl w:val="0"/>
        <w:rPr>
          <w:rFonts w:ascii="黑体" w:hAnsi="黑体" w:eastAsia="黑体" w:cs="黑体"/>
          <w:b/>
          <w:bCs/>
          <w:spacing w:val="-4"/>
          <w:sz w:val="24"/>
          <w:szCs w:val="24"/>
        </w:rPr>
      </w:pPr>
      <w:r>
        <w:rPr>
          <w:rFonts w:ascii="黑体" w:hAnsi="黑体" w:eastAsia="黑体" w:cs="黑体"/>
          <w:b/>
          <w:bCs/>
          <w:spacing w:val="-4"/>
          <w:sz w:val="24"/>
          <w:szCs w:val="24"/>
        </w:rPr>
        <w:t>二、课题论证</w:t>
      </w:r>
    </w:p>
    <w:p>
      <w:pPr>
        <w:pStyle w:val="2"/>
        <w:widowControl w:val="0"/>
        <w:spacing w:before="143" w:line="228" w:lineRule="auto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（一）研究内容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</w:rPr>
        <w:t>二）思路方法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（三）创新之处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（四）预期成果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（五）预期成果使用去向及社会效益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（六）重要参考文献</w:t>
      </w:r>
    </w:p>
    <w:p>
      <w:pPr>
        <w:spacing w:before="78" w:line="221" w:lineRule="auto"/>
        <w:ind w:left="5"/>
        <w:outlineLvl w:val="0"/>
        <w:rPr>
          <w:rFonts w:ascii="黑体" w:hAnsi="黑体" w:eastAsia="黑体" w:cs="黑体"/>
          <w:b/>
          <w:bCs/>
          <w:spacing w:val="-4"/>
          <w:sz w:val="24"/>
          <w:szCs w:val="24"/>
        </w:rPr>
      </w:pPr>
      <w:r>
        <w:rPr>
          <w:rFonts w:ascii="黑体" w:hAnsi="黑体" w:eastAsia="黑体" w:cs="黑体"/>
          <w:b/>
          <w:bCs/>
          <w:spacing w:val="-4"/>
          <w:sz w:val="24"/>
          <w:szCs w:val="24"/>
        </w:rPr>
        <w:t>三、研究基础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（一）学术简历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二</w:t>
      </w:r>
      <w:r>
        <w:rPr>
          <w:rFonts w:hint="eastAsia"/>
          <w:b w:val="0"/>
          <w:bCs w:val="0"/>
          <w:sz w:val="24"/>
          <w:szCs w:val="24"/>
        </w:rPr>
        <w:t>）学术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积累</w:t>
      </w:r>
    </w:p>
    <w:p>
      <w:pPr>
        <w:pStyle w:val="2"/>
        <w:widowControl w:val="0"/>
        <w:spacing w:before="143" w:line="228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（三）条件保障</w:t>
      </w:r>
    </w:p>
    <w:p>
      <w:pPr>
        <w:pStyle w:val="2"/>
        <w:spacing w:before="143" w:line="228" w:lineRule="auto"/>
        <w:rPr>
          <w:rFonts w:hint="eastAsia"/>
          <w:b w:val="0"/>
          <w:bCs w:val="0"/>
          <w:sz w:val="24"/>
          <w:szCs w:val="24"/>
        </w:rPr>
      </w:pPr>
    </w:p>
    <w:sectPr>
      <w:footerReference r:id="rId5" w:type="default"/>
      <w:pgSz w:w="11907" w:h="16840"/>
      <w:pgMar w:top="1076" w:right="893" w:bottom="1218" w:left="1077" w:header="0" w:footer="1058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